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457D" w14:textId="6AA6AA10" w:rsidR="003B4B70" w:rsidRPr="0024501A" w:rsidRDefault="0023657C" w:rsidP="0024501A">
      <w:pPr>
        <w:pStyle w:val="Web"/>
        <w:jc w:val="right"/>
        <w:rPr>
          <w:rFonts w:ascii="Ping LCG Regular" w:hAnsi="Ping LCG Regular"/>
          <w:sz w:val="20"/>
          <w:szCs w:val="20"/>
        </w:rPr>
      </w:pPr>
      <w:r>
        <w:rPr>
          <w:rFonts w:ascii="Ping LCG Regular" w:hAnsi="Ping LCG Regular"/>
          <w:sz w:val="20"/>
          <w:szCs w:val="20"/>
          <w:highlight w:val="yellow"/>
        </w:rPr>
        <w:t>12/12/2023</w:t>
      </w:r>
    </w:p>
    <w:p w14:paraId="514A1C49" w14:textId="77777777" w:rsidR="003B4B70" w:rsidRDefault="003B4B70" w:rsidP="00633538">
      <w:pPr>
        <w:pStyle w:val="Web"/>
        <w:jc w:val="both"/>
      </w:pPr>
    </w:p>
    <w:p w14:paraId="5627A430" w14:textId="1DBDA38A" w:rsidR="00CE5B27" w:rsidRPr="00A35ABA" w:rsidRDefault="00CE5B27" w:rsidP="00633538">
      <w:pPr>
        <w:pStyle w:val="Web"/>
        <w:jc w:val="both"/>
        <w:rPr>
          <w:rFonts w:ascii="Ping LCG Regular" w:hAnsi="Ping LCG Regular"/>
          <w:sz w:val="20"/>
          <w:szCs w:val="20"/>
        </w:rPr>
      </w:pPr>
      <w:r>
        <w:rPr>
          <w:rFonts w:ascii="Ping LCG Regular" w:hAnsi="Ping LCG Regular"/>
          <w:sz w:val="20"/>
          <w:szCs w:val="20"/>
        </w:rPr>
        <w:t>In accordance with article 2 of Joint Ministerial Decision ΥΠΕΝ/ΔΑΠΕΕΚ/48653/1597/29.05.2019 (GG 2172/Β/07.06.2019), the Residential Accounts of Local Communities with RES Stations and Hybrid Stations which were active on 20.03.2023, date of publication of the “Final Table with the Breakdown of Costs from RES stations in one or more Municipal or Local Communities, for year 2020 are eligible for the return of the Special 1% RES Fee.</w:t>
      </w:r>
    </w:p>
    <w:p w14:paraId="25C5A702" w14:textId="67DEDA85" w:rsidR="00A35ABA" w:rsidRPr="00A35ABA" w:rsidRDefault="00CE5B27" w:rsidP="00A35ABA">
      <w:pPr>
        <w:autoSpaceDE w:val="0"/>
        <w:autoSpaceDN w:val="0"/>
        <w:adjustRightInd w:val="0"/>
        <w:spacing w:after="0" w:line="240" w:lineRule="auto"/>
        <w:jc w:val="both"/>
        <w:rPr>
          <w:rFonts w:ascii="Ping LCG Regular" w:hAnsi="Ping LCG Regular" w:cs="Calibri"/>
          <w:i/>
          <w:iCs/>
          <w:color w:val="1F4E79"/>
          <w:sz w:val="20"/>
          <w:szCs w:val="20"/>
        </w:rPr>
      </w:pPr>
      <w:r>
        <w:rPr>
          <w:rFonts w:ascii="Ping LCG Regular" w:hAnsi="Ping LCG Regular"/>
          <w:sz w:val="20"/>
          <w:szCs w:val="20"/>
        </w:rPr>
        <w:t>After the completion of the procedure regarding the receiving and processing the certificates of the respective first grade local authorities for eligible users who were not listed in the temporary table, HEDNO S.A., upon updating the table, and as per the provisions of article 4 para. 8 of the above Ministerial Decision, has published the 2nd Final Table including the Accounts of all residential consumers who are eligible, per Community and 1st Grade Regional/Local Authority, and meet the criteria of article 2 for the following Communities with RES stations for which objections have been resolved:</w:t>
      </w:r>
    </w:p>
    <w:p w14:paraId="2AA4C6B4" w14:textId="77777777" w:rsidR="00A35ABA" w:rsidRDefault="00A35ABA" w:rsidP="00A35ABA">
      <w:pPr>
        <w:autoSpaceDE w:val="0"/>
        <w:autoSpaceDN w:val="0"/>
        <w:jc w:val="both"/>
        <w:rPr>
          <w:i/>
          <w:iCs/>
          <w:color w:val="1F4E79"/>
        </w:rPr>
      </w:pPr>
    </w:p>
    <w:tbl>
      <w:tblPr>
        <w:tblStyle w:val="a3"/>
        <w:tblW w:w="8075" w:type="dxa"/>
        <w:jc w:val="center"/>
        <w:tblLook w:val="04A0" w:firstRow="1" w:lastRow="0" w:firstColumn="1" w:lastColumn="0" w:noHBand="0" w:noVBand="1"/>
      </w:tblPr>
      <w:tblGrid>
        <w:gridCol w:w="2405"/>
        <w:gridCol w:w="2410"/>
        <w:gridCol w:w="3260"/>
      </w:tblGrid>
      <w:tr w:rsidR="00A35ABA" w:rsidRPr="00BC61D8" w14:paraId="12BAC093" w14:textId="77777777" w:rsidTr="00841B1D">
        <w:trPr>
          <w:trHeight w:val="300"/>
          <w:jc w:val="center"/>
        </w:trPr>
        <w:tc>
          <w:tcPr>
            <w:tcW w:w="2405" w:type="dxa"/>
            <w:noWrap/>
            <w:hideMark/>
          </w:tcPr>
          <w:p w14:paraId="0E67AC1A" w14:textId="77777777" w:rsidR="00A35ABA" w:rsidRPr="0083392E" w:rsidRDefault="00A35ABA"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Regional Unit</w:t>
            </w:r>
          </w:p>
        </w:tc>
        <w:tc>
          <w:tcPr>
            <w:tcW w:w="2410" w:type="dxa"/>
            <w:tcBorders>
              <w:bottom w:val="single" w:sz="4" w:space="0" w:color="auto"/>
            </w:tcBorders>
            <w:noWrap/>
            <w:hideMark/>
          </w:tcPr>
          <w:p w14:paraId="3A422A93" w14:textId="77777777" w:rsidR="00A35ABA" w:rsidRPr="0083392E" w:rsidRDefault="00A35ABA"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Municipality</w:t>
            </w:r>
          </w:p>
        </w:tc>
        <w:tc>
          <w:tcPr>
            <w:tcW w:w="3260" w:type="dxa"/>
            <w:tcBorders>
              <w:bottom w:val="single" w:sz="4" w:space="0" w:color="auto"/>
            </w:tcBorders>
            <w:noWrap/>
            <w:hideMark/>
          </w:tcPr>
          <w:p w14:paraId="17682E09" w14:textId="77777777" w:rsidR="00A35ABA" w:rsidRPr="0083392E" w:rsidRDefault="00A35ABA"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Community</w:t>
            </w:r>
          </w:p>
        </w:tc>
      </w:tr>
      <w:tr w:rsidR="00841B1D" w:rsidRPr="00600906" w14:paraId="7F03A403" w14:textId="77777777" w:rsidTr="00841B1D">
        <w:tblPrEx>
          <w:jc w:val="left"/>
        </w:tblPrEx>
        <w:trPr>
          <w:trHeight w:val="300"/>
        </w:trPr>
        <w:tc>
          <w:tcPr>
            <w:tcW w:w="2405" w:type="dxa"/>
            <w:noWrap/>
          </w:tcPr>
          <w:p w14:paraId="7008FE65"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AITOLOAKARNANIA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41469F2"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NAFPAKTIA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12921"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Vlachomandra</w:t>
            </w:r>
            <w:proofErr w:type="spellEnd"/>
          </w:p>
        </w:tc>
      </w:tr>
      <w:tr w:rsidR="00841B1D" w:rsidRPr="00600906" w14:paraId="33D38592" w14:textId="77777777" w:rsidTr="00841B1D">
        <w:tblPrEx>
          <w:jc w:val="left"/>
        </w:tblPrEx>
        <w:trPr>
          <w:trHeight w:val="300"/>
        </w:trPr>
        <w:tc>
          <w:tcPr>
            <w:tcW w:w="2405" w:type="dxa"/>
            <w:noWrap/>
          </w:tcPr>
          <w:p w14:paraId="49B7FCCD"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AITOLOAKARNANIA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26A2C1A"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NAFPAKTIA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A9CF1"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Trikorfo</w:t>
            </w:r>
            <w:proofErr w:type="spellEnd"/>
          </w:p>
        </w:tc>
      </w:tr>
      <w:tr w:rsidR="00841B1D" w:rsidRPr="00600906" w14:paraId="474B1A7A" w14:textId="77777777" w:rsidTr="00841B1D">
        <w:tblPrEx>
          <w:jc w:val="left"/>
        </w:tblPrEx>
        <w:trPr>
          <w:trHeight w:val="300"/>
        </w:trPr>
        <w:tc>
          <w:tcPr>
            <w:tcW w:w="2405" w:type="dxa"/>
            <w:noWrap/>
          </w:tcPr>
          <w:p w14:paraId="54B7F879"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ARKADIA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0C409E8"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OF TRIPOLI</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CDBDA"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Elaiochori</w:t>
            </w:r>
            <w:proofErr w:type="spellEnd"/>
          </w:p>
        </w:tc>
      </w:tr>
      <w:tr w:rsidR="00841B1D" w:rsidRPr="00600906" w14:paraId="24A3F2FC" w14:textId="77777777" w:rsidTr="00841B1D">
        <w:tblPrEx>
          <w:jc w:val="left"/>
        </w:tblPrEx>
        <w:trPr>
          <w:trHeight w:val="300"/>
        </w:trPr>
        <w:tc>
          <w:tcPr>
            <w:tcW w:w="2405" w:type="dxa"/>
            <w:noWrap/>
          </w:tcPr>
          <w:p w14:paraId="2743A3E5"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ARKADIA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8F35F68"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TRIPOLI</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0031A"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Partheni</w:t>
            </w:r>
            <w:proofErr w:type="spellEnd"/>
          </w:p>
        </w:tc>
      </w:tr>
      <w:tr w:rsidR="00841B1D" w:rsidRPr="00600906" w14:paraId="258FD59F" w14:textId="77777777" w:rsidTr="00841B1D">
        <w:tblPrEx>
          <w:jc w:val="left"/>
        </w:tblPrEx>
        <w:trPr>
          <w:trHeight w:val="300"/>
        </w:trPr>
        <w:tc>
          <w:tcPr>
            <w:tcW w:w="2405" w:type="dxa"/>
            <w:noWrap/>
          </w:tcPr>
          <w:p w14:paraId="40AD6EA9"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EVOIA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87B1D50"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ERETRIA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62070B0"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 xml:space="preserve">Ano </w:t>
            </w:r>
            <w:proofErr w:type="spellStart"/>
            <w:r>
              <w:rPr>
                <w:rFonts w:ascii="Ping LCG Regular" w:hAnsi="Ping LCG Regular"/>
                <w:sz w:val="20"/>
                <w:szCs w:val="20"/>
              </w:rPr>
              <w:t>Vatheia</w:t>
            </w:r>
            <w:proofErr w:type="spellEnd"/>
          </w:p>
        </w:tc>
      </w:tr>
      <w:tr w:rsidR="00841B1D" w:rsidRPr="00600906" w14:paraId="7F3EECE7" w14:textId="77777777" w:rsidTr="00841B1D">
        <w:tblPrEx>
          <w:jc w:val="left"/>
        </w:tblPrEx>
        <w:trPr>
          <w:trHeight w:val="300"/>
        </w:trPr>
        <w:tc>
          <w:tcPr>
            <w:tcW w:w="2405" w:type="dxa"/>
            <w:noWrap/>
          </w:tcPr>
          <w:p w14:paraId="1A030BC2"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EVOIA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1E6C089"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ERETRIA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0C74FDF2"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Gimno</w:t>
            </w:r>
            <w:proofErr w:type="spellEnd"/>
          </w:p>
        </w:tc>
      </w:tr>
      <w:tr w:rsidR="00841B1D" w:rsidRPr="00600906" w14:paraId="17AB4B43" w14:textId="77777777" w:rsidTr="00841B1D">
        <w:tblPrEx>
          <w:jc w:val="left"/>
        </w:tblPrEx>
        <w:trPr>
          <w:trHeight w:val="300"/>
        </w:trPr>
        <w:tc>
          <w:tcPr>
            <w:tcW w:w="2405" w:type="dxa"/>
            <w:noWrap/>
          </w:tcPr>
          <w:p w14:paraId="2C134F66"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EVOIA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BD9BF90"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KARYSTOS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6EA66"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Kallianos</w:t>
            </w:r>
            <w:proofErr w:type="spellEnd"/>
          </w:p>
        </w:tc>
      </w:tr>
      <w:tr w:rsidR="00841B1D" w:rsidRPr="00600906" w14:paraId="1B009DC9" w14:textId="77777777" w:rsidTr="00841B1D">
        <w:tblPrEx>
          <w:jc w:val="left"/>
        </w:tblPrEx>
        <w:trPr>
          <w:trHeight w:val="300"/>
        </w:trPr>
        <w:tc>
          <w:tcPr>
            <w:tcW w:w="2405" w:type="dxa"/>
            <w:noWrap/>
          </w:tcPr>
          <w:p w14:paraId="2172F4BA"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IOANNINA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2233D90"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ZITSA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CFDADC8"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Aetopetra</w:t>
            </w:r>
            <w:proofErr w:type="spellEnd"/>
            <w:r>
              <w:rPr>
                <w:rFonts w:ascii="Ping LCG Regular" w:hAnsi="Ping LCG Regular"/>
                <w:sz w:val="20"/>
                <w:szCs w:val="20"/>
              </w:rPr>
              <w:t xml:space="preserve"> </w:t>
            </w:r>
            <w:proofErr w:type="spellStart"/>
            <w:r>
              <w:rPr>
                <w:rFonts w:ascii="Ping LCG Regular" w:hAnsi="Ping LCG Regular"/>
                <w:sz w:val="20"/>
                <w:szCs w:val="20"/>
              </w:rPr>
              <w:t>Dodoni</w:t>
            </w:r>
            <w:proofErr w:type="spellEnd"/>
          </w:p>
        </w:tc>
      </w:tr>
      <w:tr w:rsidR="00841B1D" w:rsidRPr="00600906" w14:paraId="4B468CDC" w14:textId="77777777" w:rsidTr="00841B1D">
        <w:tblPrEx>
          <w:jc w:val="left"/>
        </w:tblPrEx>
        <w:trPr>
          <w:trHeight w:val="300"/>
        </w:trPr>
        <w:tc>
          <w:tcPr>
            <w:tcW w:w="2405" w:type="dxa"/>
            <w:noWrap/>
          </w:tcPr>
          <w:p w14:paraId="01B1F07B"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IOANNINA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2634499"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ZITSA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554B77FA"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Vasilopoulo</w:t>
            </w:r>
            <w:proofErr w:type="spellEnd"/>
          </w:p>
        </w:tc>
      </w:tr>
      <w:tr w:rsidR="00841B1D" w:rsidRPr="00600906" w14:paraId="02CDA873" w14:textId="77777777" w:rsidTr="00841B1D">
        <w:tblPrEx>
          <w:jc w:val="left"/>
        </w:tblPrEx>
        <w:trPr>
          <w:trHeight w:val="300"/>
        </w:trPr>
        <w:tc>
          <w:tcPr>
            <w:tcW w:w="2405" w:type="dxa"/>
            <w:noWrap/>
          </w:tcPr>
          <w:p w14:paraId="6C96A1FF"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IOANNINA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9D197D0"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ZITSA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8BA0139"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Despotiko</w:t>
            </w:r>
            <w:proofErr w:type="spellEnd"/>
          </w:p>
        </w:tc>
      </w:tr>
      <w:tr w:rsidR="00841B1D" w:rsidRPr="00600906" w14:paraId="21A749AE" w14:textId="77777777" w:rsidTr="00841B1D">
        <w:tblPrEx>
          <w:jc w:val="left"/>
        </w:tblPrEx>
        <w:trPr>
          <w:trHeight w:val="300"/>
        </w:trPr>
        <w:tc>
          <w:tcPr>
            <w:tcW w:w="2405" w:type="dxa"/>
            <w:noWrap/>
          </w:tcPr>
          <w:p w14:paraId="26C3F4DB"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KASTORIA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6954E6D"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KASTORIA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E8669"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Ieropigi</w:t>
            </w:r>
            <w:proofErr w:type="spellEnd"/>
          </w:p>
        </w:tc>
      </w:tr>
      <w:tr w:rsidR="00841B1D" w:rsidRPr="00600906" w14:paraId="7B7D2379" w14:textId="77777777" w:rsidTr="00841B1D">
        <w:tblPrEx>
          <w:jc w:val="left"/>
        </w:tblPrEx>
        <w:trPr>
          <w:trHeight w:val="300"/>
        </w:trPr>
        <w:tc>
          <w:tcPr>
            <w:tcW w:w="2405" w:type="dxa"/>
            <w:noWrap/>
          </w:tcPr>
          <w:p w14:paraId="29C26264"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FLORINA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145696D"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PRESPES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A3EEE"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Kristallopigi</w:t>
            </w:r>
            <w:proofErr w:type="spellEnd"/>
          </w:p>
        </w:tc>
      </w:tr>
      <w:tr w:rsidR="00841B1D" w:rsidRPr="00600906" w14:paraId="0D5C18A4" w14:textId="77777777" w:rsidTr="00841B1D">
        <w:tblPrEx>
          <w:jc w:val="left"/>
        </w:tblPrEx>
        <w:trPr>
          <w:trHeight w:val="300"/>
        </w:trPr>
        <w:tc>
          <w:tcPr>
            <w:tcW w:w="2405" w:type="dxa"/>
            <w:noWrap/>
          </w:tcPr>
          <w:p w14:paraId="0AC6D245"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FOKIDA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87D578B" w14:textId="77777777" w:rsidR="00841B1D" w:rsidRPr="0083392E" w:rsidRDefault="00841B1D" w:rsidP="0083392E">
            <w:pPr>
              <w:autoSpaceDE w:val="0"/>
              <w:autoSpaceDN w:val="0"/>
              <w:adjustRightInd w:val="0"/>
              <w:jc w:val="both"/>
              <w:rPr>
                <w:rFonts w:ascii="Ping LCG Regular" w:hAnsi="Ping LCG Regular"/>
                <w:sz w:val="20"/>
                <w:szCs w:val="20"/>
              </w:rPr>
            </w:pPr>
            <w:r>
              <w:rPr>
                <w:rFonts w:ascii="Ping LCG Regular" w:hAnsi="Ping LCG Regular"/>
                <w:sz w:val="20"/>
                <w:szCs w:val="20"/>
              </w:rPr>
              <w:t>DORIDA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B9424FF" w14:textId="77777777" w:rsidR="00841B1D" w:rsidRPr="0083392E" w:rsidRDefault="00841B1D" w:rsidP="0083392E">
            <w:pPr>
              <w:autoSpaceDE w:val="0"/>
              <w:autoSpaceDN w:val="0"/>
              <w:adjustRightInd w:val="0"/>
              <w:jc w:val="both"/>
              <w:rPr>
                <w:rFonts w:ascii="Ping LCG Regular" w:hAnsi="Ping LCG Regular"/>
                <w:sz w:val="20"/>
                <w:szCs w:val="20"/>
              </w:rPr>
            </w:pPr>
            <w:proofErr w:type="spellStart"/>
            <w:r>
              <w:rPr>
                <w:rFonts w:ascii="Ping LCG Regular" w:hAnsi="Ping LCG Regular"/>
                <w:sz w:val="20"/>
                <w:szCs w:val="20"/>
              </w:rPr>
              <w:t>Tolofonas</w:t>
            </w:r>
            <w:proofErr w:type="spellEnd"/>
          </w:p>
        </w:tc>
      </w:tr>
    </w:tbl>
    <w:p w14:paraId="0CB0CA9F" w14:textId="77777777" w:rsidR="0083392E" w:rsidRDefault="0083392E" w:rsidP="0083392E">
      <w:pPr>
        <w:autoSpaceDE w:val="0"/>
        <w:autoSpaceDN w:val="0"/>
        <w:adjustRightInd w:val="0"/>
        <w:spacing w:after="0" w:line="240" w:lineRule="auto"/>
        <w:jc w:val="both"/>
        <w:rPr>
          <w:rFonts w:ascii="Ping LCG Regular" w:hAnsi="Ping LCG Regular"/>
          <w:sz w:val="20"/>
          <w:szCs w:val="20"/>
        </w:rPr>
      </w:pPr>
    </w:p>
    <w:p w14:paraId="31ED04AE" w14:textId="57239FA8" w:rsidR="00CE5B27" w:rsidRDefault="00CE5B27" w:rsidP="0083392E">
      <w:pPr>
        <w:autoSpaceDE w:val="0"/>
        <w:autoSpaceDN w:val="0"/>
        <w:adjustRightInd w:val="0"/>
        <w:spacing w:after="0" w:line="240" w:lineRule="auto"/>
        <w:jc w:val="both"/>
        <w:rPr>
          <w:rFonts w:ascii="Ping LCG Regular" w:hAnsi="Ping LCG Regular"/>
          <w:sz w:val="20"/>
          <w:szCs w:val="20"/>
        </w:rPr>
      </w:pPr>
      <w:r>
        <w:rPr>
          <w:rFonts w:ascii="Ping LCG Regular" w:hAnsi="Ping LCG Regular"/>
          <w:sz w:val="20"/>
          <w:szCs w:val="20"/>
        </w:rPr>
        <w:t>Please note that accounts for which the resulting amount is less than one cent (&lt; 0,01 €) were excluded from this table. In these cases and according to article 4 para. 8 of the Ministerial Decision, the amounts are not paid and are instead transferred to the next breakdown.</w:t>
      </w:r>
    </w:p>
    <w:p w14:paraId="6CD94FE4" w14:textId="18935273" w:rsidR="00CE5B27" w:rsidRPr="0083392E" w:rsidRDefault="00000000" w:rsidP="0083392E">
      <w:pPr>
        <w:autoSpaceDE w:val="0"/>
        <w:autoSpaceDN w:val="0"/>
        <w:adjustRightInd w:val="0"/>
        <w:spacing w:after="0" w:line="240" w:lineRule="auto"/>
        <w:jc w:val="both"/>
        <w:rPr>
          <w:rFonts w:ascii="Ping LCG Regular" w:hAnsi="Ping LCG Regular"/>
          <w:sz w:val="20"/>
          <w:szCs w:val="20"/>
        </w:rPr>
      </w:pPr>
      <w:hyperlink r:id="rId5" w:history="1">
        <w:r w:rsidR="00CE5B27">
          <w:rPr>
            <w:rFonts w:ascii="Ping LCG Regular" w:hAnsi="Ping LCG Regular"/>
            <w:sz w:val="20"/>
            <w:szCs w:val="20"/>
            <w:u w:val="single"/>
          </w:rPr>
          <w:t>Click here</w:t>
        </w:r>
      </w:hyperlink>
      <w:r w:rsidR="00CE5B27">
        <w:t xml:space="preserve"> to enter the application and search for eligible Account Numbers.</w:t>
      </w:r>
    </w:p>
    <w:p w14:paraId="67DABF02" w14:textId="0E7D062C" w:rsidR="00CE5B27" w:rsidRDefault="00CE5B27" w:rsidP="0083392E">
      <w:pPr>
        <w:autoSpaceDE w:val="0"/>
        <w:autoSpaceDN w:val="0"/>
        <w:adjustRightInd w:val="0"/>
        <w:spacing w:after="0" w:line="240" w:lineRule="auto"/>
        <w:jc w:val="both"/>
        <w:rPr>
          <w:rFonts w:ascii="Ping LCG Regular" w:hAnsi="Ping LCG Regular"/>
          <w:sz w:val="20"/>
          <w:szCs w:val="20"/>
        </w:rPr>
      </w:pPr>
      <w:r>
        <w:rPr>
          <w:rFonts w:ascii="Ping LCG Regular" w:hAnsi="Ping LCG Regular"/>
          <w:sz w:val="20"/>
          <w:szCs w:val="20"/>
        </w:rPr>
        <w:t>Note: For information on individual Eligible Accounts, please enter the 8 digits as follows:</w:t>
      </w:r>
    </w:p>
    <w:p w14:paraId="305A2F71" w14:textId="74BC5871" w:rsidR="00702782" w:rsidRPr="0083392E" w:rsidRDefault="00702782" w:rsidP="0083392E">
      <w:pPr>
        <w:autoSpaceDE w:val="0"/>
        <w:autoSpaceDN w:val="0"/>
        <w:adjustRightInd w:val="0"/>
        <w:spacing w:after="0" w:line="240" w:lineRule="auto"/>
        <w:jc w:val="both"/>
        <w:rPr>
          <w:rFonts w:ascii="Ping LCG Regular" w:hAnsi="Ping LCG Regular"/>
          <w:sz w:val="20"/>
          <w:szCs w:val="20"/>
        </w:rPr>
      </w:pPr>
      <w:r>
        <w:rPr>
          <w:rFonts w:ascii="Ping LCG Regular" w:hAnsi="Ping LCG Regular"/>
          <w:noProof/>
          <w:sz w:val="20"/>
          <w:szCs w:val="20"/>
        </w:rPr>
        <w:drawing>
          <wp:anchor distT="0" distB="0" distL="114300" distR="114300" simplePos="0" relativeHeight="251658240" behindDoc="0" locked="0" layoutInCell="1" allowOverlap="1" wp14:anchorId="09ED678E" wp14:editId="5DF98FD8">
            <wp:simplePos x="0" y="0"/>
            <wp:positionH relativeFrom="column">
              <wp:posOffset>928514</wp:posOffset>
            </wp:positionH>
            <wp:positionV relativeFrom="paragraph">
              <wp:posOffset>137627</wp:posOffset>
            </wp:positionV>
            <wp:extent cx="3057952" cy="314369"/>
            <wp:effectExtent l="0" t="0" r="0" b="9525"/>
            <wp:wrapNone/>
            <wp:docPr id="657678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67827" name="Εικόνα 65767827"/>
                    <pic:cNvPicPr/>
                  </pic:nvPicPr>
                  <pic:blipFill>
                    <a:blip r:embed="rId6">
                      <a:extLst>
                        <a:ext uri="{28A0092B-C50C-407E-A947-70E740481C1C}">
                          <a14:useLocalDpi xmlns:a14="http://schemas.microsoft.com/office/drawing/2010/main" val="0"/>
                        </a:ext>
                      </a:extLst>
                    </a:blip>
                    <a:stretch>
                      <a:fillRect/>
                    </a:stretch>
                  </pic:blipFill>
                  <pic:spPr>
                    <a:xfrm>
                      <a:off x="0" y="0"/>
                      <a:ext cx="3057952" cy="314369"/>
                    </a:xfrm>
                    <a:prstGeom prst="rect">
                      <a:avLst/>
                    </a:prstGeom>
                  </pic:spPr>
                </pic:pic>
              </a:graphicData>
            </a:graphic>
            <wp14:sizeRelH relativeFrom="page">
              <wp14:pctWidth>0</wp14:pctWidth>
            </wp14:sizeRelH>
            <wp14:sizeRelV relativeFrom="page">
              <wp14:pctHeight>0</wp14:pctHeight>
            </wp14:sizeRelV>
          </wp:anchor>
        </w:drawing>
      </w:r>
    </w:p>
    <w:p w14:paraId="491AB305" w14:textId="2018DBFE" w:rsidR="00A1321C" w:rsidRDefault="00A1321C" w:rsidP="00A1321C">
      <w:pPr>
        <w:pStyle w:val="Web"/>
        <w:jc w:val="center"/>
      </w:pPr>
    </w:p>
    <w:p w14:paraId="20529C50" w14:textId="77777777" w:rsidR="00A1321C" w:rsidRPr="0024501A" w:rsidRDefault="00A1321C" w:rsidP="0083392E">
      <w:pPr>
        <w:autoSpaceDE w:val="0"/>
        <w:autoSpaceDN w:val="0"/>
        <w:adjustRightInd w:val="0"/>
        <w:spacing w:after="0" w:line="240" w:lineRule="auto"/>
        <w:jc w:val="both"/>
        <w:rPr>
          <w:rFonts w:ascii="Ping LCG Regular" w:hAnsi="Ping LCG Regular"/>
          <w:i/>
          <w:iCs/>
          <w:sz w:val="20"/>
          <w:szCs w:val="20"/>
        </w:rPr>
      </w:pPr>
      <w:r>
        <w:rPr>
          <w:rFonts w:ascii="Ping LCG Regular" w:hAnsi="Ping LCG Regular"/>
          <w:i/>
          <w:iCs/>
          <w:sz w:val="20"/>
          <w:szCs w:val="20"/>
        </w:rPr>
        <w:t>Relevant legislation:</w:t>
      </w:r>
    </w:p>
    <w:p w14:paraId="1C436635" w14:textId="77777777" w:rsidR="00A1321C" w:rsidRPr="0024501A" w:rsidRDefault="00A1321C" w:rsidP="0083392E">
      <w:pPr>
        <w:pStyle w:val="a4"/>
        <w:numPr>
          <w:ilvl w:val="0"/>
          <w:numId w:val="2"/>
        </w:numPr>
        <w:autoSpaceDE w:val="0"/>
        <w:autoSpaceDN w:val="0"/>
        <w:adjustRightInd w:val="0"/>
        <w:spacing w:after="0" w:line="240" w:lineRule="auto"/>
        <w:jc w:val="both"/>
        <w:rPr>
          <w:rFonts w:ascii="Ping LCG Regular" w:hAnsi="Ping LCG Regular"/>
          <w:i/>
          <w:iCs/>
          <w:sz w:val="20"/>
          <w:szCs w:val="20"/>
        </w:rPr>
      </w:pPr>
      <w:r>
        <w:rPr>
          <w:rFonts w:ascii="Ping LCG Regular" w:hAnsi="Ping LCG Regular"/>
          <w:i/>
          <w:iCs/>
          <w:sz w:val="20"/>
          <w:szCs w:val="20"/>
        </w:rPr>
        <w:t>Joint Ministerial Decision no. ΥΠΕΝ/ΔΑΠΕΕΚ/48653/1597 (GG Β 2172/07.06.2019)</w:t>
      </w:r>
    </w:p>
    <w:p w14:paraId="0A5017F0" w14:textId="748EEB6C" w:rsidR="00A1321C" w:rsidRPr="0024501A" w:rsidRDefault="00A1321C" w:rsidP="0083392E">
      <w:pPr>
        <w:pStyle w:val="a4"/>
        <w:numPr>
          <w:ilvl w:val="0"/>
          <w:numId w:val="2"/>
        </w:numPr>
        <w:autoSpaceDE w:val="0"/>
        <w:autoSpaceDN w:val="0"/>
        <w:adjustRightInd w:val="0"/>
        <w:spacing w:after="0" w:line="240" w:lineRule="auto"/>
        <w:jc w:val="both"/>
        <w:rPr>
          <w:rFonts w:ascii="Ping LCG Regular" w:hAnsi="Ping LCG Regular"/>
          <w:i/>
          <w:iCs/>
          <w:sz w:val="20"/>
          <w:szCs w:val="20"/>
        </w:rPr>
      </w:pPr>
      <w:r>
        <w:rPr>
          <w:rFonts w:ascii="Ping LCG Regular" w:hAnsi="Ping LCG Regular"/>
          <w:i/>
          <w:iCs/>
          <w:sz w:val="20"/>
          <w:szCs w:val="20"/>
        </w:rPr>
        <w:t>Joint Ministerial Decision no. ΥΠΕΝ/ΔΑΠΕΕΚ/27611/933 (</w:t>
      </w:r>
      <w:r w:rsidR="00FA76F6">
        <w:rPr>
          <w:rFonts w:ascii="Ping LCG Regular" w:hAnsi="Ping LCG Regular"/>
          <w:i/>
          <w:iCs/>
          <w:sz w:val="20"/>
          <w:szCs w:val="20"/>
        </w:rPr>
        <w:t xml:space="preserve">GG B </w:t>
      </w:r>
      <w:r>
        <w:rPr>
          <w:rFonts w:ascii="Ping LCG Regular" w:hAnsi="Ping LCG Regular"/>
          <w:i/>
          <w:iCs/>
          <w:sz w:val="20"/>
          <w:szCs w:val="20"/>
        </w:rPr>
        <w:t>1771/20.03.2023)</w:t>
      </w:r>
    </w:p>
    <w:sectPr w:rsidR="00A1321C" w:rsidRPr="002450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21F"/>
    <w:multiLevelType w:val="hybridMultilevel"/>
    <w:tmpl w:val="7D9C2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484D47"/>
    <w:multiLevelType w:val="multilevel"/>
    <w:tmpl w:val="D790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0259409">
    <w:abstractNumId w:val="1"/>
  </w:num>
  <w:num w:numId="2" w16cid:durableId="86517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27"/>
    <w:rsid w:val="0023657C"/>
    <w:rsid w:val="0024501A"/>
    <w:rsid w:val="002741A1"/>
    <w:rsid w:val="00284842"/>
    <w:rsid w:val="003B4B70"/>
    <w:rsid w:val="003F3B0F"/>
    <w:rsid w:val="00560429"/>
    <w:rsid w:val="006171F9"/>
    <w:rsid w:val="00633538"/>
    <w:rsid w:val="00702782"/>
    <w:rsid w:val="0083392E"/>
    <w:rsid w:val="00841B1D"/>
    <w:rsid w:val="009664F2"/>
    <w:rsid w:val="00A1321C"/>
    <w:rsid w:val="00A35ABA"/>
    <w:rsid w:val="00B75586"/>
    <w:rsid w:val="00C010CA"/>
    <w:rsid w:val="00C10D36"/>
    <w:rsid w:val="00C768CC"/>
    <w:rsid w:val="00C91451"/>
    <w:rsid w:val="00CE5B27"/>
    <w:rsid w:val="00FA76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23E2"/>
  <w15:docId w15:val="{A1D72534-F0AF-462D-AD19-D91F8F6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5B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E5B27"/>
    <w:rPr>
      <w:color w:val="0000FF"/>
      <w:u w:val="single"/>
    </w:rPr>
  </w:style>
  <w:style w:type="table" w:styleId="a3">
    <w:name w:val="Table Grid"/>
    <w:basedOn w:val="a1"/>
    <w:uiPriority w:val="39"/>
    <w:rsid w:val="00A3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1729">
      <w:bodyDiv w:val="1"/>
      <w:marLeft w:val="0"/>
      <w:marRight w:val="0"/>
      <w:marTop w:val="0"/>
      <w:marBottom w:val="0"/>
      <w:divBdr>
        <w:top w:val="none" w:sz="0" w:space="0" w:color="auto"/>
        <w:left w:val="none" w:sz="0" w:space="0" w:color="auto"/>
        <w:bottom w:val="none" w:sz="0" w:space="0" w:color="auto"/>
        <w:right w:val="none" w:sz="0" w:space="0" w:color="auto"/>
      </w:divBdr>
    </w:div>
    <w:div w:id="12064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pps.deddie.gr/OnePerCentReturnsRES/pag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Αλεξανδρόπουλος Θεόδωρος</dc:creator>
  <cp:lastModifiedBy>Apps Comprojects</cp:lastModifiedBy>
  <cp:revision>8</cp:revision>
  <dcterms:created xsi:type="dcterms:W3CDTF">2023-12-04T13:41:00Z</dcterms:created>
  <dcterms:modified xsi:type="dcterms:W3CDTF">2023-12-12T12:00:00Z</dcterms:modified>
</cp:coreProperties>
</file>